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1A" w:rsidRDefault="0038191A" w:rsidP="003819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5D82DB84" wp14:editId="002C2F86">
            <wp:extent cx="5760720" cy="1675765"/>
            <wp:effectExtent l="19050" t="19050" r="11430" b="19685"/>
            <wp:docPr id="1" name="Slika 1" descr="35. slovenski knjižni sej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. slovenski knjižni sejem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5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191A" w:rsidRPr="0038191A" w:rsidRDefault="0038191A" w:rsidP="003819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26. novembra 2019 se bodo 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dprla vrata 35. slovenskega knjižnega sejma. </w:t>
      </w:r>
      <w:r w:rsidRPr="00295B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Organizatorji so pripravili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Pr="00295B94">
        <w:rPr>
          <w:rFonts w:ascii="Times New Roman" w:hAnsi="Times New Roman" w:cs="Times New Roman"/>
          <w:sz w:val="24"/>
          <w:szCs w:val="24"/>
        </w:rPr>
        <w:t>eč kot 300 dogodkov na odprtih odrih in dvoranah Cankarjevega doma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Letošnji, že 35. </w:t>
      </w:r>
      <w:r w:rsidRPr="00295B94">
        <w:rPr>
          <w:rFonts w:ascii="Times New Roman" w:hAnsi="Times New Roman" w:cs="Times New Roman"/>
          <w:sz w:val="24"/>
          <w:szCs w:val="24"/>
        </w:rPr>
        <w:t>Slovenski knjižni sejem b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5B94">
        <w:rPr>
          <w:rFonts w:ascii="Times New Roman" w:hAnsi="Times New Roman" w:cs="Times New Roman"/>
          <w:sz w:val="24"/>
          <w:szCs w:val="24"/>
        </w:rPr>
        <w:t xml:space="preserve"> v znamenju Valentina Vodnika, saj se je  v letu 2019 obeležilo spomin 200. obletnice njegove smrti.</w:t>
      </w:r>
      <w:bookmarkStart w:id="0" w:name="_GoBack"/>
      <w:bookmarkEnd w:id="0"/>
    </w:p>
    <w:p w:rsidR="0038191A" w:rsidRPr="00295B94" w:rsidRDefault="0038191A" w:rsidP="003819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5F90" w:rsidRDefault="008C5F90"/>
    <w:sectPr w:rsidR="008C5F90" w:rsidSect="003819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1A"/>
    <w:rsid w:val="0038191A"/>
    <w:rsid w:val="006E7809"/>
    <w:rsid w:val="008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374AA-B9E6-4001-AA1C-DDE2F675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19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2019-11-22T12:16:00Z</dcterms:created>
  <dcterms:modified xsi:type="dcterms:W3CDTF">2019-11-22T12:20:00Z</dcterms:modified>
</cp:coreProperties>
</file>